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55F6" w:rsidRPr="00434BD5" w:rsidRDefault="00FC303A" w:rsidP="00434BD5">
      <w:pPr>
        <w:jc w:val="center"/>
        <w:rPr>
          <w:b/>
          <w:bCs/>
          <w:sz w:val="36"/>
          <w:szCs w:val="36"/>
        </w:rPr>
      </w:pPr>
      <w:r>
        <w:rPr>
          <w:b/>
          <w:bCs/>
          <w:sz w:val="36"/>
          <w:szCs w:val="36"/>
        </w:rPr>
        <w:t>CLINICO</w:t>
      </w:r>
      <w:r w:rsidR="003155F6" w:rsidRPr="00434BD5">
        <w:rPr>
          <w:b/>
          <w:bCs/>
          <w:sz w:val="36"/>
          <w:szCs w:val="36"/>
        </w:rPr>
        <w:t>PATHOLOGICAL CONFERENCE</w:t>
      </w:r>
    </w:p>
    <w:p w:rsidR="003155F6" w:rsidRDefault="003155F6" w:rsidP="00434BD5">
      <w:pPr>
        <w:jc w:val="center"/>
      </w:pPr>
      <w:r>
        <w:t>Presented by III Medical unit</w:t>
      </w:r>
    </w:p>
    <w:p w:rsidR="00434BD5" w:rsidRDefault="00434BD5" w:rsidP="00434BD5">
      <w:pPr>
        <w:jc w:val="center"/>
      </w:pPr>
      <w:r>
        <w:t>Date:  24.08.26</w:t>
      </w:r>
    </w:p>
    <w:p w:rsidR="003155F6" w:rsidRDefault="003155F6" w:rsidP="00C10421">
      <w:pPr>
        <w:jc w:val="both"/>
      </w:pPr>
      <w:r>
        <w:t>Discussion:</w:t>
      </w:r>
    </w:p>
    <w:p w:rsidR="003155F6" w:rsidRDefault="003155F6" w:rsidP="003155F6">
      <w:pPr>
        <w:ind w:firstLine="720"/>
        <w:jc w:val="both"/>
      </w:pPr>
      <w:r>
        <w:t>PG</w:t>
      </w:r>
      <w:r>
        <w:tab/>
      </w:r>
      <w:r>
        <w:tab/>
        <w:t xml:space="preserve">: </w:t>
      </w:r>
      <w:proofErr w:type="spellStart"/>
      <w:r>
        <w:t>Dr.</w:t>
      </w:r>
      <w:proofErr w:type="spellEnd"/>
      <w:r>
        <w:t xml:space="preserve"> P. </w:t>
      </w:r>
      <w:proofErr w:type="spellStart"/>
      <w:r>
        <w:t>Gowtham</w:t>
      </w:r>
      <w:proofErr w:type="spellEnd"/>
      <w:r>
        <w:t xml:space="preserve"> Ram,</w:t>
      </w:r>
    </w:p>
    <w:p w:rsidR="003155F6" w:rsidRDefault="003155F6" w:rsidP="003155F6">
      <w:pPr>
        <w:ind w:firstLine="720"/>
        <w:jc w:val="both"/>
      </w:pPr>
      <w:r>
        <w:t>Faculty</w:t>
      </w:r>
      <w:r>
        <w:tab/>
        <w:t xml:space="preserve">: </w:t>
      </w:r>
      <w:proofErr w:type="spellStart"/>
      <w:r>
        <w:t>Dr.</w:t>
      </w:r>
      <w:proofErr w:type="spellEnd"/>
      <w:r>
        <w:t xml:space="preserve"> </w:t>
      </w:r>
      <w:proofErr w:type="spellStart"/>
      <w:r>
        <w:t>Pon</w:t>
      </w:r>
      <w:proofErr w:type="spellEnd"/>
      <w:r>
        <w:t xml:space="preserve"> </w:t>
      </w:r>
      <w:proofErr w:type="spellStart"/>
      <w:r>
        <w:t>Senthil</w:t>
      </w:r>
      <w:proofErr w:type="spellEnd"/>
      <w:r>
        <w:t xml:space="preserve"> Kumar, M.D.,</w:t>
      </w:r>
    </w:p>
    <w:p w:rsidR="003155F6" w:rsidRDefault="003155F6" w:rsidP="003155F6">
      <w:pPr>
        <w:jc w:val="both"/>
      </w:pPr>
      <w:r>
        <w:t>Expert perspective: HOD and faculty of Department of Nephrology</w:t>
      </w:r>
    </w:p>
    <w:p w:rsidR="00434BD5" w:rsidRDefault="00434BD5" w:rsidP="003155F6">
      <w:pPr>
        <w:jc w:val="both"/>
      </w:pPr>
      <w:r>
        <w:t>Pathologist perspective:  HOD and faculty of Department of Pathology</w:t>
      </w:r>
      <w:bookmarkStart w:id="0" w:name="_GoBack"/>
      <w:bookmarkEnd w:id="0"/>
    </w:p>
    <w:p w:rsidR="008C2970" w:rsidRDefault="008C2970" w:rsidP="00C10421">
      <w:pPr>
        <w:jc w:val="both"/>
      </w:pPr>
    </w:p>
    <w:p w:rsidR="008C2970" w:rsidRDefault="008C2970" w:rsidP="00C10421">
      <w:pPr>
        <w:jc w:val="both"/>
      </w:pPr>
    </w:p>
    <w:p w:rsidR="003155F6" w:rsidRPr="008C2970" w:rsidRDefault="008C2970" w:rsidP="008C2970">
      <w:pPr>
        <w:jc w:val="center"/>
        <w:rPr>
          <w:b/>
          <w:bCs/>
          <w:sz w:val="32"/>
          <w:szCs w:val="32"/>
        </w:rPr>
      </w:pPr>
      <w:r w:rsidRPr="008C2970">
        <w:rPr>
          <w:b/>
          <w:bCs/>
          <w:sz w:val="32"/>
          <w:szCs w:val="32"/>
        </w:rPr>
        <w:t>AN INTERESTING CASE OF CHRONIC KIDNEY DISEASE</w:t>
      </w:r>
    </w:p>
    <w:p w:rsidR="00CB56BE" w:rsidRDefault="00CB56BE" w:rsidP="00C10421">
      <w:pPr>
        <w:jc w:val="both"/>
      </w:pPr>
      <w:r>
        <w:t>A 7</w:t>
      </w:r>
      <w:r w:rsidR="00561828">
        <w:t>2</w:t>
      </w:r>
      <w:r>
        <w:t xml:space="preserve">-year-old man was evaluated in the nephrology clinic of a hospital because of chronic kidney disease. The patient had been in his usual state of health when he was referred to the nephrology clinic of this hospital for a preoperative evaluation of chronic kidney disease, before a </w:t>
      </w:r>
      <w:proofErr w:type="spellStart"/>
      <w:r>
        <w:t>transcatheter</w:t>
      </w:r>
      <w:proofErr w:type="spellEnd"/>
      <w:r>
        <w:t xml:space="preserve"> aortic-valve replacement (TAVR) for aortic stenosis.</w:t>
      </w:r>
    </w:p>
    <w:p w:rsidR="00CB56BE" w:rsidRDefault="00CB56BE" w:rsidP="00C10421">
      <w:pPr>
        <w:jc w:val="both"/>
      </w:pPr>
      <w:r>
        <w:t xml:space="preserve">Eighteen years before this evaluation, an elevated creatinine level had been found incidentally during an evaluation of fatigue, malaise, and joint stiffness. The patient was evaluated in the nephrology clinic of another hospital, and biopsy of the right kidney was performed.  Pathological examination of the kidney-biopsy specimen revealed glomeruli with thickened capillary walls and mild </w:t>
      </w:r>
      <w:proofErr w:type="spellStart"/>
      <w:r>
        <w:t>mesangial</w:t>
      </w:r>
      <w:proofErr w:type="spellEnd"/>
      <w:r>
        <w:t xml:space="preserve"> </w:t>
      </w:r>
      <w:proofErr w:type="spellStart"/>
      <w:r>
        <w:t>hypercellularity</w:t>
      </w:r>
      <w:proofErr w:type="spellEnd"/>
      <w:r>
        <w:t xml:space="preserve">. A Jones’ silver stain showed “spikes” and “bubbles” in the glomerular basement membrane, features typical of membranous nephropathy. The </w:t>
      </w:r>
      <w:proofErr w:type="spellStart"/>
      <w:r>
        <w:t>interstitium</w:t>
      </w:r>
      <w:proofErr w:type="spellEnd"/>
      <w:r>
        <w:t xml:space="preserve"> had an infiltrate of mononuclear cells, plasma cells, and </w:t>
      </w:r>
      <w:proofErr w:type="spellStart"/>
      <w:r>
        <w:t>eosinophils</w:t>
      </w:r>
      <w:proofErr w:type="spellEnd"/>
      <w:r>
        <w:t xml:space="preserve">, with </w:t>
      </w:r>
      <w:proofErr w:type="spellStart"/>
      <w:r>
        <w:t>tubulitis</w:t>
      </w:r>
      <w:proofErr w:type="spellEnd"/>
      <w:r>
        <w:t xml:space="preserve"> and without granulomas or neutrophils. Immunofluorescence showed staining of granular deposits for </w:t>
      </w:r>
      <w:proofErr w:type="spellStart"/>
      <w:r>
        <w:t>IgG</w:t>
      </w:r>
      <w:proofErr w:type="spellEnd"/>
      <w:r>
        <w:t xml:space="preserve"> and C3 along the glomerular basement membrane and in the </w:t>
      </w:r>
      <w:proofErr w:type="spellStart"/>
      <w:r>
        <w:t>mesangium</w:t>
      </w:r>
      <w:proofErr w:type="spellEnd"/>
      <w:r>
        <w:t xml:space="preserve">. Other stains (C1q, IgA, </w:t>
      </w:r>
      <w:proofErr w:type="spellStart"/>
      <w:r>
        <w:t>IgM</w:t>
      </w:r>
      <w:proofErr w:type="spellEnd"/>
      <w:r>
        <w:t xml:space="preserve">, fibrinogen, and albumin) were negative. Electron microscopy showed widespread amorphous </w:t>
      </w:r>
      <w:proofErr w:type="spellStart"/>
      <w:r>
        <w:t>subepithelial</w:t>
      </w:r>
      <w:proofErr w:type="spellEnd"/>
      <w:r>
        <w:t xml:space="preserve"> deposits along the glomerular basement membrane and in the </w:t>
      </w:r>
      <w:proofErr w:type="spellStart"/>
      <w:r>
        <w:t>mesangium</w:t>
      </w:r>
      <w:proofErr w:type="spellEnd"/>
      <w:r>
        <w:t xml:space="preserve">, with surrounding spikes and </w:t>
      </w:r>
      <w:proofErr w:type="spellStart"/>
      <w:r>
        <w:t>podocyte</w:t>
      </w:r>
      <w:proofErr w:type="spellEnd"/>
      <w:r>
        <w:t xml:space="preserve"> foot-process effacement. Arteriosclerosis and </w:t>
      </w:r>
      <w:proofErr w:type="spellStart"/>
      <w:r>
        <w:t>glomerulosclerosis</w:t>
      </w:r>
      <w:proofErr w:type="spellEnd"/>
      <w:r>
        <w:t xml:space="preserve"> were also present. At the other hospital, these findings were interpreted as membranous nephropathy, acute </w:t>
      </w:r>
      <w:proofErr w:type="spellStart"/>
      <w:r>
        <w:t>tubulointerstitial</w:t>
      </w:r>
      <w:proofErr w:type="spellEnd"/>
      <w:r>
        <w:t xml:space="preserve"> nephritis with </w:t>
      </w:r>
      <w:proofErr w:type="spellStart"/>
      <w:r>
        <w:t>eosinophils</w:t>
      </w:r>
      <w:proofErr w:type="spellEnd"/>
      <w:r>
        <w:t xml:space="preserve">, and </w:t>
      </w:r>
      <w:proofErr w:type="spellStart"/>
      <w:r>
        <w:t>arterionephrosclerosis</w:t>
      </w:r>
      <w:proofErr w:type="spellEnd"/>
      <w:r>
        <w:t xml:space="preserve"> with global </w:t>
      </w:r>
      <w:proofErr w:type="spellStart"/>
      <w:r>
        <w:t>glomerulosclerosis</w:t>
      </w:r>
      <w:proofErr w:type="spellEnd"/>
      <w:r>
        <w:t>.</w:t>
      </w:r>
    </w:p>
    <w:p w:rsidR="00CB56BE" w:rsidRDefault="00CB56BE" w:rsidP="00C10421">
      <w:pPr>
        <w:jc w:val="both"/>
      </w:pPr>
      <w:r>
        <w:lastRenderedPageBreak/>
        <w:t xml:space="preserve">The patient was told that his kidney disease was consistent with a diagnosis of </w:t>
      </w:r>
      <w:proofErr w:type="spellStart"/>
      <w:r>
        <w:t>Sjögren’s</w:t>
      </w:r>
      <w:proofErr w:type="spellEnd"/>
      <w:r>
        <w:t xml:space="preserve"> syndrome. Prednisone was administered for 6 months and then tapered to a lower dose. Treatment with sodium bicarbonate and furosemide was initiated, as was treatment with losartan, although losartan was intermittently stopped because of </w:t>
      </w:r>
      <w:proofErr w:type="spellStart"/>
      <w:r>
        <w:t>hyperkalemia</w:t>
      </w:r>
      <w:proofErr w:type="spellEnd"/>
      <w:r>
        <w:t xml:space="preserve">; prednisone was continued. During the next 18 years, the creatinine level gradually increased to 3.28 mg per </w:t>
      </w:r>
      <w:proofErr w:type="spellStart"/>
      <w:r>
        <w:t>decilite</w:t>
      </w:r>
      <w:r w:rsidR="00CA5C33">
        <w:t>r</w:t>
      </w:r>
      <w:proofErr w:type="spellEnd"/>
      <w:r>
        <w:t>.</w:t>
      </w:r>
    </w:p>
    <w:p w:rsidR="00CB56BE" w:rsidRDefault="00CB56BE" w:rsidP="00C10421">
      <w:pPr>
        <w:jc w:val="both"/>
      </w:pPr>
      <w:r>
        <w:t>Twenty-five years before the current evaluation, the patient had received a diagnosis of chronic pancreatitis complicated by diabetes mellitus and exocrine pancreatic insufficiency. One year later, painless enlargement of the right lacrimal gland occurred. Surgical excision of the right lacrimal gland was performed at the other hospital, and examination of the excised specimen reportedly revealed nonspecific inflammation. The next year, enlargement of the left lacrimal gland and the bilateral submandibular and parotid glands developed.</w:t>
      </w:r>
    </w:p>
    <w:p w:rsidR="00CB56BE" w:rsidRDefault="00CB56BE" w:rsidP="00C10421">
      <w:pPr>
        <w:jc w:val="both"/>
      </w:pPr>
      <w:r>
        <w:t>Magnetic resonance imaging of the neck, performed before and after the administration of intravenous contrast material, revealed mass</w:t>
      </w:r>
      <w:r w:rsidR="0070727B">
        <w:t>-</w:t>
      </w:r>
      <w:r>
        <w:t xml:space="preserve">like abnormalities of the bilateral submandibular and parotid glands. The abnormalities were </w:t>
      </w:r>
      <w:proofErr w:type="spellStart"/>
      <w:r>
        <w:t>hypointense</w:t>
      </w:r>
      <w:proofErr w:type="spellEnd"/>
      <w:r>
        <w:t xml:space="preserve"> on T1-weighted and T2-weighted imaging.</w:t>
      </w:r>
    </w:p>
    <w:p w:rsidR="00CB56BE" w:rsidRDefault="00CB56BE" w:rsidP="00C10421">
      <w:pPr>
        <w:jc w:val="both"/>
      </w:pPr>
      <w:r>
        <w:t xml:space="preserve">The patient declined another glandular biopsy and was told that he probably had </w:t>
      </w:r>
      <w:proofErr w:type="spellStart"/>
      <w:r>
        <w:t>Sjögren’s</w:t>
      </w:r>
      <w:proofErr w:type="spellEnd"/>
      <w:r>
        <w:t xml:space="preserve"> syndrome. Glandular enlargement resolved, and during the next 23 years, the patient was treated with prednisone for presumptive </w:t>
      </w:r>
      <w:proofErr w:type="spellStart"/>
      <w:r>
        <w:t>Sjögren’s</w:t>
      </w:r>
      <w:proofErr w:type="spellEnd"/>
      <w:r>
        <w:t xml:space="preserve"> syndrome.</w:t>
      </w:r>
    </w:p>
    <w:p w:rsidR="00CB56BE" w:rsidRDefault="00CB56BE" w:rsidP="00C10421">
      <w:pPr>
        <w:jc w:val="both"/>
      </w:pPr>
      <w:r>
        <w:t xml:space="preserve">Two years before the current evaluation, shortness of breath and </w:t>
      </w:r>
      <w:proofErr w:type="spellStart"/>
      <w:r>
        <w:t>substernal</w:t>
      </w:r>
      <w:proofErr w:type="spellEnd"/>
      <w:r>
        <w:t xml:space="preserve"> chest pressure on exertion developed; these symptoms usually resolved after approximately 20 minutes of rest.  The patient was evaluated at the other hospital, and aortic stenosis was diagnosed.</w:t>
      </w:r>
    </w:p>
    <w:p w:rsidR="00CB56BE" w:rsidRDefault="00CB56BE" w:rsidP="00C10421">
      <w:pPr>
        <w:jc w:val="both"/>
      </w:pPr>
      <w:r>
        <w:t xml:space="preserve">Four months before the current evaluation, the shortness of breath and </w:t>
      </w:r>
      <w:proofErr w:type="spellStart"/>
      <w:r>
        <w:t>substernal</w:t>
      </w:r>
      <w:proofErr w:type="spellEnd"/>
      <w:r>
        <w:t xml:space="preserve"> chest pressure worsened, such that the patient became unable to carry his groceries a short distance to his house. Additional imaging and cardiology studies were obtained.</w:t>
      </w:r>
    </w:p>
    <w:p w:rsidR="00CB56BE" w:rsidRDefault="00CB56BE" w:rsidP="00C10421">
      <w:pPr>
        <w:jc w:val="both"/>
      </w:pPr>
      <w:r>
        <w:t>Computed tomography (CT) of the heart, chest, abdomen, and pelvis, performed before and after the administration of intravenous contrast material, revealed multiple large aneurysms involving all the coronary arteries, with associated mural t</w:t>
      </w:r>
      <w:r w:rsidR="00C10421">
        <w:t>hrombus</w:t>
      </w:r>
      <w:r>
        <w:t>. There was extensive</w:t>
      </w:r>
      <w:r w:rsidR="00C10421">
        <w:t xml:space="preserve"> </w:t>
      </w:r>
      <w:r>
        <w:t>coronary-artery</w:t>
      </w:r>
      <w:r w:rsidR="00C10421">
        <w:t xml:space="preserve"> calcification, along with scat</w:t>
      </w:r>
      <w:r>
        <w:t>tered pulmonary nodules measuring up to 4 mm</w:t>
      </w:r>
      <w:r w:rsidR="00C10421">
        <w:t xml:space="preserve"> </w:t>
      </w:r>
      <w:r>
        <w:t xml:space="preserve">in diameter, multiple mildly enlarged </w:t>
      </w:r>
      <w:proofErr w:type="spellStart"/>
      <w:r>
        <w:t>me</w:t>
      </w:r>
      <w:r w:rsidR="00C10421">
        <w:t>diasti</w:t>
      </w:r>
      <w:r>
        <w:t>nal</w:t>
      </w:r>
      <w:proofErr w:type="spellEnd"/>
      <w:r>
        <w:t xml:space="preserve"> lymph nodes, and calcification in the tail of</w:t>
      </w:r>
      <w:r w:rsidR="00C10421">
        <w:t xml:space="preserve"> </w:t>
      </w:r>
      <w:r>
        <w:t>the pancreas.</w:t>
      </w:r>
    </w:p>
    <w:p w:rsidR="00CB56BE" w:rsidRDefault="00CB56BE" w:rsidP="00C10421">
      <w:pPr>
        <w:jc w:val="both"/>
      </w:pPr>
      <w:r>
        <w:t>Echocardiography showed</w:t>
      </w:r>
      <w:r w:rsidR="00C10421">
        <w:t xml:space="preserve"> </w:t>
      </w:r>
      <w:r>
        <w:t>severe tricuspid ao</w:t>
      </w:r>
      <w:r w:rsidR="00C10421">
        <w:t>rtic stenosis, with bulky calci</w:t>
      </w:r>
      <w:r>
        <w:t>fication of the aort</w:t>
      </w:r>
      <w:r w:rsidR="00C10421">
        <w:t>ic-valve leaflets with restrict</w:t>
      </w:r>
      <w:r>
        <w:t>ed</w:t>
      </w:r>
      <w:r w:rsidR="00C10421">
        <w:t xml:space="preserve"> motion</w:t>
      </w:r>
      <w:r>
        <w:t>, as</w:t>
      </w:r>
      <w:r w:rsidR="00C10421">
        <w:t xml:space="preserve"> </w:t>
      </w:r>
      <w:r>
        <w:t xml:space="preserve">well as severe </w:t>
      </w:r>
      <w:r>
        <w:lastRenderedPageBreak/>
        <w:t>calcification of the aortic root at</w:t>
      </w:r>
      <w:r w:rsidR="00C10421">
        <w:t xml:space="preserve"> </w:t>
      </w:r>
      <w:r>
        <w:t xml:space="preserve">the </w:t>
      </w:r>
      <w:proofErr w:type="spellStart"/>
      <w:r>
        <w:t>sinotubular</w:t>
      </w:r>
      <w:proofErr w:type="spellEnd"/>
      <w:r>
        <w:t xml:space="preserve"> junction. Coronary angiography</w:t>
      </w:r>
      <w:r w:rsidR="00C10421">
        <w:t xml:space="preserve"> </w:t>
      </w:r>
      <w:r>
        <w:t>revealed large a</w:t>
      </w:r>
      <w:r w:rsidR="00C10421">
        <w:t>neurysms with partial calcifica</w:t>
      </w:r>
      <w:r>
        <w:t xml:space="preserve">tion involving all </w:t>
      </w:r>
      <w:r w:rsidR="00C10421">
        <w:t>the coronary arteries — specifi</w:t>
      </w:r>
      <w:r>
        <w:t>cally, the distal left main, proximal and middle</w:t>
      </w:r>
      <w:r w:rsidR="00C10421">
        <w:t xml:space="preserve"> </w:t>
      </w:r>
      <w:r>
        <w:t>left anterior d</w:t>
      </w:r>
      <w:r w:rsidR="00C10421">
        <w:t>escending, proximal left circum</w:t>
      </w:r>
      <w:r>
        <w:t>flex, and proximal and middle right coronary</w:t>
      </w:r>
      <w:r w:rsidR="00C10421">
        <w:t xml:space="preserve"> </w:t>
      </w:r>
      <w:r>
        <w:t>arteries — and calcified narrowing between the</w:t>
      </w:r>
      <w:r w:rsidR="00C10421">
        <w:t xml:space="preserve"> </w:t>
      </w:r>
      <w:r>
        <w:t>aneurysm</w:t>
      </w:r>
      <w:r w:rsidR="00C10421">
        <w:t>al segments</w:t>
      </w:r>
      <w:r>
        <w:t>. The</w:t>
      </w:r>
      <w:r w:rsidR="00C10421">
        <w:t xml:space="preserve"> </w:t>
      </w:r>
      <w:r>
        <w:t xml:space="preserve">distal lumens were normal in </w:t>
      </w:r>
      <w:proofErr w:type="spellStart"/>
      <w:r>
        <w:t>caliber</w:t>
      </w:r>
      <w:proofErr w:type="spellEnd"/>
      <w:r>
        <w:t xml:space="preserve"> and were</w:t>
      </w:r>
      <w:r w:rsidR="00C10421">
        <w:t xml:space="preserve"> </w:t>
      </w:r>
      <w:r>
        <w:t>not well visualized because of the slow flow</w:t>
      </w:r>
      <w:r w:rsidR="00C10421">
        <w:t xml:space="preserve"> </w:t>
      </w:r>
      <w:r>
        <w:t>through the proximal aneurysmal segments.</w:t>
      </w:r>
      <w:r w:rsidR="00C10421">
        <w:t xml:space="preserve">  </w:t>
      </w:r>
      <w:r>
        <w:t>There was moderate, diffuse disease in the</w:t>
      </w:r>
      <w:r w:rsidR="00C10421">
        <w:t xml:space="preserve"> </w:t>
      </w:r>
      <w:r>
        <w:t>middle left circumflex artery.</w:t>
      </w:r>
    </w:p>
    <w:p w:rsidR="00C10421" w:rsidRDefault="00CB56BE" w:rsidP="00C10421">
      <w:pPr>
        <w:jc w:val="both"/>
      </w:pPr>
      <w:r>
        <w:t>Ballo</w:t>
      </w:r>
      <w:r w:rsidR="00C10421">
        <w:t xml:space="preserve">on aortic </w:t>
      </w:r>
      <w:proofErr w:type="spellStart"/>
      <w:r w:rsidR="00C10421">
        <w:t>valvuloplasty</w:t>
      </w:r>
      <w:proofErr w:type="spellEnd"/>
      <w:r w:rsidR="00C10421">
        <w:t xml:space="preserve"> was per</w:t>
      </w:r>
      <w:r>
        <w:t>formed 3 months before the current evaluation,</w:t>
      </w:r>
      <w:r w:rsidR="00C10421">
        <w:t xml:space="preserve"> </w:t>
      </w:r>
      <w:r>
        <w:t>and a subsequent TAVR was planned. During the</w:t>
      </w:r>
      <w:r w:rsidR="00C10421">
        <w:t xml:space="preserve"> </w:t>
      </w:r>
      <w:r>
        <w:t>current</w:t>
      </w:r>
      <w:r w:rsidR="00C10421">
        <w:t xml:space="preserve"> </w:t>
      </w:r>
      <w:r>
        <w:t>evaluation, the patient indicated that the</w:t>
      </w:r>
      <w:r w:rsidR="00C10421">
        <w:t xml:space="preserve"> shortness of breath and chest pressure on exertion had abated since the balloon aortic </w:t>
      </w:r>
      <w:proofErr w:type="spellStart"/>
      <w:r w:rsidR="00C10421">
        <w:t>valvuloplasty</w:t>
      </w:r>
      <w:proofErr w:type="spellEnd"/>
      <w:r w:rsidR="00C10421">
        <w:t xml:space="preserve">. Additional history was obtained. The patient had chronic back and neck pain due to severe </w:t>
      </w:r>
      <w:proofErr w:type="spellStart"/>
      <w:r w:rsidR="00C10421">
        <w:t>kyphoscoliosis</w:t>
      </w:r>
      <w:proofErr w:type="spellEnd"/>
      <w:r w:rsidR="00C10421">
        <w:t xml:space="preserve">, spinal stenosis, and cervical myelopathy; the pain had been treated 2 months earlier with anterior cervical </w:t>
      </w:r>
      <w:proofErr w:type="spellStart"/>
      <w:r w:rsidR="00C10421">
        <w:t>diskectomy</w:t>
      </w:r>
      <w:proofErr w:type="spellEnd"/>
      <w:r w:rsidR="00C10421">
        <w:t xml:space="preserve"> and fusion. He had hypertension, </w:t>
      </w:r>
      <w:proofErr w:type="spellStart"/>
      <w:r w:rsidR="00C10421">
        <w:t>anemia</w:t>
      </w:r>
      <w:proofErr w:type="spellEnd"/>
      <w:r w:rsidR="00C10421">
        <w:t xml:space="preserve">, gout, osteopenia, and benign prostatic hypertrophy. Medications included prednisone, </w:t>
      </w:r>
      <w:proofErr w:type="spellStart"/>
      <w:r w:rsidR="00C10421">
        <w:t>metoprolol</w:t>
      </w:r>
      <w:proofErr w:type="spellEnd"/>
      <w:r w:rsidR="00C10421">
        <w:t xml:space="preserve">, aspirin, </w:t>
      </w:r>
      <w:proofErr w:type="spellStart"/>
      <w:r w:rsidR="00C10421">
        <w:t>rosuvastatin</w:t>
      </w:r>
      <w:proofErr w:type="spellEnd"/>
      <w:r w:rsidR="00C10421">
        <w:t xml:space="preserve">, furosemide, insulin, sodium bicarbonate, </w:t>
      </w:r>
      <w:proofErr w:type="spellStart"/>
      <w:r w:rsidR="00C10421">
        <w:t>epoetin</w:t>
      </w:r>
      <w:proofErr w:type="spellEnd"/>
      <w:r w:rsidR="00C10421">
        <w:t xml:space="preserve"> </w:t>
      </w:r>
      <w:proofErr w:type="spellStart"/>
      <w:r w:rsidR="00C10421">
        <w:t>alfa</w:t>
      </w:r>
      <w:proofErr w:type="spellEnd"/>
      <w:r w:rsidR="00C10421">
        <w:t xml:space="preserve">, </w:t>
      </w:r>
      <w:proofErr w:type="spellStart"/>
      <w:r w:rsidR="00C10421">
        <w:t>cholecalciferol</w:t>
      </w:r>
      <w:proofErr w:type="spellEnd"/>
      <w:r w:rsidR="00C10421">
        <w:t xml:space="preserve">, </w:t>
      </w:r>
      <w:proofErr w:type="spellStart"/>
      <w:r w:rsidR="00C10421">
        <w:t>calcitriol</w:t>
      </w:r>
      <w:proofErr w:type="spellEnd"/>
      <w:r w:rsidR="00C10421">
        <w:t xml:space="preserve">, </w:t>
      </w:r>
      <w:proofErr w:type="spellStart"/>
      <w:r w:rsidR="00C10421">
        <w:t>pancrelipase</w:t>
      </w:r>
      <w:proofErr w:type="spellEnd"/>
      <w:r w:rsidR="00C10421">
        <w:t xml:space="preserve">, </w:t>
      </w:r>
      <w:proofErr w:type="spellStart"/>
      <w:r w:rsidR="00C10421">
        <w:t>alfuzosin</w:t>
      </w:r>
      <w:proofErr w:type="spellEnd"/>
      <w:r w:rsidR="00C10421">
        <w:t>, allopurinol, and gabapentin. There were no known drug allergies. He had smoked 10 cigarettes per day for 6 years but had stopped four decades earlier; he drank alcohol rarely and did not use illicit drugs. The patient had been retired from his career as a health care professional for 2 years. He was married and lived in a house in a suburban area of New England. His father had had type 2 diabetes mellitus and had died of prostate cancer at 67 years of age, his mother had had pancreatic cancer and had died at 65 years of age, and his younger brother had had type 2 diabetes mellitus and had died after a myocardial infarction at 46 years of age.</w:t>
      </w:r>
    </w:p>
    <w:p w:rsidR="00C10421" w:rsidRDefault="00C10421" w:rsidP="00C10421">
      <w:pPr>
        <w:jc w:val="both"/>
      </w:pPr>
      <w:r>
        <w:t xml:space="preserve">On physical examination, the temperature was 36.1°C, the blood pressure 176/75 mm Hg, the heart rate 77 beats per minute, and the body-mass index 24.8. There was a crescendo–decrescendo systolic murmur that was heard best at the right upper sternal border. The creatinine level was 3.41 mg per </w:t>
      </w:r>
      <w:proofErr w:type="spellStart"/>
      <w:r>
        <w:t>deciliter</w:t>
      </w:r>
      <w:proofErr w:type="spellEnd"/>
      <w:r>
        <w:t xml:space="preserve">, which was similar to other levels obtained during the previous 1.5 years. The urinary protein level was 149.6 mg per </w:t>
      </w:r>
      <w:proofErr w:type="spellStart"/>
      <w:r>
        <w:t>deciliter</w:t>
      </w:r>
      <w:proofErr w:type="spellEnd"/>
      <w:r>
        <w:t>; the ratio of total protein to creatinine was 2.23 (reference range, &lt;0.15). Results of liver-function tests were normal. Other laboratory test results are shown in Table 1.</w:t>
      </w:r>
    </w:p>
    <w:p w:rsidR="0017774A" w:rsidRDefault="00C10421" w:rsidP="00C10421">
      <w:pPr>
        <w:jc w:val="both"/>
      </w:pPr>
      <w:r>
        <w:t>A diagnostic test was performed.</w:t>
      </w:r>
    </w:p>
    <w:p w:rsidR="000C7CF6" w:rsidRDefault="000C7CF6" w:rsidP="00C10421">
      <w:pPr>
        <w:jc w:val="both"/>
      </w:pPr>
    </w:p>
    <w:p w:rsidR="000C7CF6" w:rsidRDefault="000C7CF6" w:rsidP="00C10421">
      <w:pPr>
        <w:jc w:val="both"/>
      </w:pPr>
    </w:p>
    <w:p w:rsidR="000C7CF6" w:rsidRDefault="000C7CF6" w:rsidP="00C10421">
      <w:pPr>
        <w:jc w:val="both"/>
      </w:pPr>
    </w:p>
    <w:p w:rsidR="000C7CF6" w:rsidRDefault="006359DC" w:rsidP="00C10421">
      <w:pPr>
        <w:jc w:val="both"/>
      </w:pPr>
      <w:r>
        <w:rPr>
          <w:noProof/>
          <w:lang w:eastAsia="en-IN"/>
        </w:rPr>
        <w:drawing>
          <wp:inline distT="0" distB="0" distL="0" distR="0">
            <wp:extent cx="4840918" cy="72104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20260807-WA0004 (1).jpg"/>
                    <pic:cNvPicPr/>
                  </pic:nvPicPr>
                  <pic:blipFill>
                    <a:blip r:embed="rId4">
                      <a:extLst>
                        <a:ext uri="{28A0092B-C50C-407E-A947-70E740481C1C}">
                          <a14:useLocalDpi xmlns:a14="http://schemas.microsoft.com/office/drawing/2010/main" val="0"/>
                        </a:ext>
                      </a:extLst>
                    </a:blip>
                    <a:stretch>
                      <a:fillRect/>
                    </a:stretch>
                  </pic:blipFill>
                  <pic:spPr>
                    <a:xfrm>
                      <a:off x="0" y="0"/>
                      <a:ext cx="4848446" cy="7221638"/>
                    </a:xfrm>
                    <a:prstGeom prst="rect">
                      <a:avLst/>
                    </a:prstGeom>
                  </pic:spPr>
                </pic:pic>
              </a:graphicData>
            </a:graphic>
          </wp:inline>
        </w:drawing>
      </w:r>
    </w:p>
    <w:sectPr w:rsidR="000C7CF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atha">
    <w:altName w:val="Arial"/>
    <w:panose1 w:val="020B0604020202020204"/>
    <w:charset w:val="01"/>
    <w:family w:val="roman"/>
    <w:notTrueType/>
    <w:pitch w:val="variable"/>
    <w:sig w:usb0="0004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56BE"/>
    <w:rsid w:val="000C7CF6"/>
    <w:rsid w:val="0017774A"/>
    <w:rsid w:val="003155F6"/>
    <w:rsid w:val="00434BD5"/>
    <w:rsid w:val="00561828"/>
    <w:rsid w:val="006359DC"/>
    <w:rsid w:val="0070727B"/>
    <w:rsid w:val="008C2970"/>
    <w:rsid w:val="00C10421"/>
    <w:rsid w:val="00CA5C33"/>
    <w:rsid w:val="00CB56BE"/>
    <w:rsid w:val="00FC303A"/>
  </w:rsids>
  <m:mathPr>
    <m:mathFont m:val="Cambria Math"/>
    <m:brkBin m:val="before"/>
    <m:brkBinSub m:val="--"/>
    <m:smallFrac m:val="0"/>
    <m:dispDef/>
    <m:lMargin m:val="0"/>
    <m:rMargin m:val="0"/>
    <m:defJc m:val="centerGroup"/>
    <m:wrapIndent m:val="1440"/>
    <m:intLim m:val="subSup"/>
    <m:naryLim m:val="undOvr"/>
  </m:mathPr>
  <w:themeFontLang w:val="en-IN"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F3F0DB-E05A-4D89-B92D-0E3A8E78D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IN" w:eastAsia="en-US" w:bidi="ta-IN"/>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C7C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7CF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4</Pages>
  <Words>1100</Words>
  <Characters>6271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8</cp:revision>
  <cp:lastPrinted>2026-08-07T03:14:00Z</cp:lastPrinted>
  <dcterms:created xsi:type="dcterms:W3CDTF">2026-08-07T05:44:00Z</dcterms:created>
  <dcterms:modified xsi:type="dcterms:W3CDTF">2026-08-16T14:54:00Z</dcterms:modified>
</cp:coreProperties>
</file>